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仿宋" w:eastAsia="方正小标宋简体" w:cs="仿宋_GB2312"/>
          <w:sz w:val="84"/>
          <w:szCs w:val="84"/>
        </w:rPr>
      </w:pPr>
    </w:p>
    <w:p>
      <w:pPr>
        <w:spacing w:line="360" w:lineRule="auto"/>
        <w:jc w:val="center"/>
        <w:rPr>
          <w:rFonts w:ascii="方正小标宋简体" w:hAnsi="仿宋" w:eastAsia="方正小标宋简体" w:cs="仿宋_GB2312"/>
          <w:sz w:val="84"/>
          <w:szCs w:val="84"/>
        </w:rPr>
      </w:pPr>
    </w:p>
    <w:p>
      <w:pPr>
        <w:spacing w:line="360" w:lineRule="auto"/>
        <w:jc w:val="center"/>
        <w:rPr>
          <w:rFonts w:ascii="方正小标宋简体" w:hAnsi="仿宋" w:eastAsia="方正小标宋简体" w:cs="仿宋_GB2312"/>
          <w:sz w:val="84"/>
          <w:szCs w:val="84"/>
        </w:rPr>
      </w:pPr>
      <w:r>
        <w:rPr>
          <w:rFonts w:hint="eastAsia" w:ascii="方正小标宋简体" w:hAnsi="仿宋" w:eastAsia="方正小标宋简体" w:cs="仿宋_GB2312"/>
          <w:sz w:val="84"/>
          <w:szCs w:val="84"/>
        </w:rPr>
        <w:t>2024年度</w:t>
      </w:r>
    </w:p>
    <w:p>
      <w:pPr>
        <w:spacing w:line="360" w:lineRule="auto"/>
        <w:jc w:val="center"/>
        <w:rPr>
          <w:rFonts w:hint="eastAsia" w:ascii="方正小标宋简体" w:hAnsi="仿宋" w:eastAsia="方正小标宋简体" w:cs="仿宋_GB2312"/>
          <w:sz w:val="84"/>
          <w:szCs w:val="84"/>
        </w:rPr>
      </w:pPr>
      <w:r>
        <w:rPr>
          <w:rFonts w:hint="eastAsia" w:ascii="方正小标宋简体" w:hAnsi="仿宋" w:eastAsia="方正小标宋简体" w:cs="仿宋_GB2312"/>
          <w:sz w:val="84"/>
          <w:szCs w:val="84"/>
        </w:rPr>
        <w:t>厦门胡里山炮台保护中心预算</w:t>
      </w:r>
    </w:p>
    <w:p>
      <w:pPr>
        <w:spacing w:line="560" w:lineRule="exact"/>
        <w:jc w:val="center"/>
        <w:rPr>
          <w:rFonts w:hint="eastAsia" w:ascii="黑体" w:hAnsi="黑体" w:eastAsia="黑体"/>
          <w:sz w:val="32"/>
          <w:szCs w:val="32"/>
        </w:rPr>
      </w:pPr>
      <w:r>
        <w:rPr>
          <w:rFonts w:hint="eastAsia" w:ascii="方正小标宋简体" w:hAnsi="仿宋" w:eastAsia="方正小标宋简体" w:cs="仿宋_GB2312"/>
          <w:sz w:val="44"/>
          <w:szCs w:val="44"/>
        </w:rPr>
        <w:t xml:space="preserve"> </w:t>
      </w:r>
    </w:p>
    <w:p>
      <w:pPr>
        <w:spacing w:line="560" w:lineRule="exact"/>
        <w:jc w:val="cente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目   录</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单位概况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一、单位主要职责</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二、单位基本情况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三、单位主要工作任务</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第二部分  2024年单位预算说明</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一、2024年单位预算收支总体情况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五、其他重要事项的情况说明</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第四部分  2024年单位预算附表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p>
    <w:p>
      <w:pPr>
        <w:tabs>
          <w:tab w:val="left" w:pos="7513"/>
        </w:tabs>
        <w:adjustRightInd w:val="0"/>
        <w:snapToGrid w:val="0"/>
        <w:spacing w:line="560" w:lineRule="exact"/>
        <w:jc w:val="center"/>
        <w:rPr>
          <w:rFonts w:hint="eastAsia" w:ascii="黑体" w:hAnsi="黑体" w:eastAsia="黑体"/>
          <w:sz w:val="32"/>
          <w:szCs w:val="32"/>
        </w:rPr>
      </w:pPr>
      <w:r>
        <w:rPr>
          <w:rFonts w:hint="eastAsia" w:ascii="黑体" w:eastAsia="黑体"/>
          <w:sz w:val="32"/>
          <w:szCs w:val="32"/>
        </w:rPr>
        <w:t>第一部分  单位</w:t>
      </w:r>
      <w:r>
        <w:rPr>
          <w:rFonts w:hint="eastAsia" w:ascii="黑体" w:hAnsi="黑体" w:eastAsia="黑体"/>
          <w:sz w:val="32"/>
          <w:szCs w:val="32"/>
        </w:rPr>
        <w:t>概况</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eastAsia="黑体"/>
          <w:sz w:val="32"/>
          <w:szCs w:val="32"/>
        </w:rPr>
        <w:t>一、</w:t>
      </w:r>
      <w:r>
        <w:rPr>
          <w:rFonts w:hint="eastAsia" w:ascii="黑体" w:hAnsi="黑体" w:eastAsia="黑体"/>
          <w:sz w:val="32"/>
          <w:szCs w:val="32"/>
        </w:rPr>
        <w:t>单位主要职责</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厦门胡里山炮台保护中心的主要职责是：</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（一）胡里山炮台文物保护、研究、管理、利用。</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w:t>
      </w:r>
      <w:r>
        <w:rPr>
          <w:rFonts w:hint="eastAsia" w:ascii="仿宋_GB2312" w:hAnsi="黑体" w:eastAsia="仿宋_GB2312"/>
          <w:sz w:val="32"/>
        </w:rPr>
        <w:t>景区（点）园林绿地管理。</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（三）旅游服务等方面技术性、辅助性和事务性工作。</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二、单位基本情况</w:t>
      </w:r>
    </w:p>
    <w:p>
      <w:pPr>
        <w:tabs>
          <w:tab w:val="left" w:pos="7513"/>
        </w:tabs>
        <w:adjustRightInd w:val="0"/>
        <w:snapToGrid w:val="0"/>
        <w:spacing w:line="560" w:lineRule="exact"/>
        <w:ind w:firstLine="640" w:firstLineChars="200"/>
        <w:rPr>
          <w:rFonts w:hint="eastAsia" w:ascii="仿宋_GB2312" w:hAnsi="黑体" w:eastAsia="仿宋_GB2312"/>
          <w:color w:val="FF0000"/>
          <w:sz w:val="32"/>
          <w:lang w:eastAsia="zh-CN"/>
        </w:rPr>
      </w:pPr>
      <w:r>
        <w:rPr>
          <w:rFonts w:hint="eastAsia" w:ascii="仿宋_GB2312" w:hAnsi="仿宋" w:eastAsia="仿宋_GB2312" w:cs="仿宋_GB2312"/>
          <w:color w:val="auto"/>
          <w:sz w:val="32"/>
          <w:szCs w:val="32"/>
        </w:rPr>
        <w:t>厦门</w:t>
      </w:r>
      <w:bookmarkStart w:id="0" w:name="_GoBack"/>
      <w:bookmarkEnd w:id="0"/>
      <w:r>
        <w:rPr>
          <w:rFonts w:hint="eastAsia" w:ascii="仿宋_GB2312" w:hAnsi="仿宋" w:eastAsia="仿宋_GB2312" w:cs="仿宋_GB2312"/>
          <w:color w:val="auto"/>
          <w:sz w:val="32"/>
          <w:szCs w:val="32"/>
        </w:rPr>
        <w:t>胡里山炮台保护中心</w:t>
      </w:r>
      <w:r>
        <w:rPr>
          <w:rFonts w:hint="eastAsia" w:ascii="仿宋_GB2312" w:hAnsi="仿宋" w:eastAsia="仿宋_GB2312" w:cs="仿宋_GB2312"/>
          <w:color w:val="auto"/>
          <w:sz w:val="32"/>
          <w:szCs w:val="32"/>
          <w:lang w:eastAsia="zh-CN"/>
        </w:rPr>
        <w:t>内设</w:t>
      </w:r>
      <w:r>
        <w:rPr>
          <w:rFonts w:hint="eastAsia" w:ascii="仿宋_GB2312" w:hAnsi="仿宋" w:eastAsia="仿宋_GB2312" w:cs="仿宋_GB2312"/>
          <w:color w:val="auto"/>
          <w:sz w:val="32"/>
          <w:szCs w:val="32"/>
          <w:lang w:val="en-US" w:eastAsia="zh-CN"/>
        </w:rPr>
        <w:t>2个</w:t>
      </w:r>
      <w:r>
        <w:rPr>
          <w:rFonts w:hint="eastAsia" w:ascii="仿宋_GB2312" w:hAnsi="黑体" w:eastAsia="仿宋_GB2312"/>
          <w:color w:val="auto"/>
          <w:sz w:val="32"/>
        </w:rPr>
        <w:t>部门</w:t>
      </w:r>
      <w:r>
        <w:rPr>
          <w:rFonts w:ascii="仿宋_GB2312" w:hAnsi="仿宋" w:eastAsia="仿宋_GB2312"/>
          <w:color w:val="auto"/>
          <w:sz w:val="32"/>
          <w:szCs w:val="32"/>
        </w:rPr>
        <w:t>，</w:t>
      </w:r>
      <w:r>
        <w:rPr>
          <w:rFonts w:hint="eastAsia" w:ascii="仿宋_GB2312" w:hAnsi="黑体" w:eastAsia="仿宋_GB2312"/>
          <w:color w:val="auto"/>
          <w:sz w:val="32"/>
        </w:rPr>
        <w:t>包括</w:t>
      </w:r>
      <w:r>
        <w:rPr>
          <w:rFonts w:hint="eastAsia" w:ascii="仿宋_GB2312" w:hAnsi="黑体" w:eastAsia="仿宋_GB2312"/>
          <w:color w:val="auto"/>
          <w:sz w:val="32"/>
          <w:lang w:eastAsia="zh-CN"/>
        </w:rPr>
        <w:t>：办公室和业务部。</w:t>
      </w:r>
    </w:p>
    <w:p>
      <w:pPr>
        <w:tabs>
          <w:tab w:val="left" w:pos="7513"/>
        </w:tabs>
        <w:adjustRightInd w:val="0"/>
        <w:snapToGrid w:val="0"/>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三、单位主要工作任务</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2024年，厦门胡里山炮台保护中心主要任务是：有序开展文物的保护、利用、管理等工作，促进景区转型发展</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提升景区整体建设水平</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将继续以“安全、稳定、团结、发展”为总纲，以安全工作为核心，坚持“凝心聚力，固本强基，应势而为，创新突破”的工作主题，坚持“让文物说话”和“把游客服务好”两手抓，切实促进景区又好又快发展。围绕上述任务，重点抓好以下工作：</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（一）理清职责权利，明晰改革路径。</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（二）加强保护传承，守护文化根脉。</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（三）推动文旅深度融合，促进景区高质量发展。</w:t>
      </w:r>
    </w:p>
    <w:p>
      <w:pPr>
        <w:tabs>
          <w:tab w:val="left" w:pos="7513"/>
        </w:tabs>
        <w:adjustRightInd w:val="0"/>
        <w:snapToGrid w:val="0"/>
        <w:spacing w:line="560" w:lineRule="exact"/>
        <w:jc w:val="center"/>
        <w:rPr>
          <w:rFonts w:hint="eastAsia" w:ascii="黑体" w:eastAsia="黑体"/>
          <w:sz w:val="32"/>
          <w:szCs w:val="32"/>
        </w:rPr>
      </w:pPr>
      <w:r>
        <w:rPr>
          <w:rFonts w:hint="eastAsia" w:ascii="黑体" w:eastAsia="黑体"/>
          <w:sz w:val="32"/>
          <w:szCs w:val="32"/>
        </w:rPr>
        <w:t>第二部分  2024年单位预算说明</w:t>
      </w:r>
    </w:p>
    <w:p>
      <w:pPr>
        <w:tabs>
          <w:tab w:val="left" w:pos="7513"/>
        </w:tabs>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一、2024年单位预算收支总体情况</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根据预算管理的有关规定，单位的全部收入和支出均纳入部门预算管理。</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sz w:val="32"/>
          <w:szCs w:val="32"/>
        </w:rPr>
        <w:t>（一）</w:t>
      </w:r>
      <w:r>
        <w:rPr>
          <w:rFonts w:hint="eastAsia" w:ascii="仿宋_GB2312" w:hAnsi="仿宋" w:eastAsia="仿宋_GB2312" w:cs="仿宋_GB2312"/>
          <w:sz w:val="32"/>
          <w:szCs w:val="32"/>
        </w:rPr>
        <w:t>厦门胡里山炮台保护中心</w:t>
      </w:r>
      <w:r>
        <w:rPr>
          <w:rFonts w:hint="eastAsia" w:ascii="仿宋_GB2312" w:hAnsi="仿宋" w:eastAsia="仿宋_GB2312"/>
          <w:sz w:val="32"/>
          <w:szCs w:val="32"/>
        </w:rPr>
        <w:t>2024年收入预算为</w:t>
      </w:r>
      <w:r>
        <w:rPr>
          <w:rFonts w:hint="eastAsia" w:ascii="仿宋_GB2312" w:hAnsi="仿宋_GB2312" w:eastAsia="仿宋_GB2312" w:cs="仿宋_GB2312"/>
          <w:kern w:val="2"/>
          <w:sz w:val="32"/>
          <w:szCs w:val="32"/>
          <w:lang w:val="en-US" w:eastAsia="zh-CN" w:bidi="ar-SA"/>
        </w:rPr>
        <w:t>2075.6</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cs="仿宋_GB2312"/>
          <w:sz w:val="32"/>
          <w:szCs w:val="32"/>
        </w:rPr>
        <w:t>比2023年预算数增加</w:t>
      </w:r>
      <w:r>
        <w:rPr>
          <w:rFonts w:hint="eastAsia" w:ascii="仿宋_GB2312" w:hAnsi="仿宋" w:eastAsia="仿宋_GB2312" w:cs="仿宋_GB2312"/>
          <w:sz w:val="32"/>
          <w:szCs w:val="32"/>
          <w:lang w:val="en-US" w:eastAsia="zh-CN"/>
        </w:rPr>
        <w:t>180.67</w:t>
      </w:r>
      <w:r>
        <w:rPr>
          <w:rFonts w:hint="eastAsia" w:ascii="仿宋_GB2312" w:hAnsi="仿宋" w:eastAsia="仿宋_GB2312" w:cs="仿宋_GB2312"/>
          <w:sz w:val="32"/>
          <w:szCs w:val="32"/>
        </w:rPr>
        <w:t>万元，增长</w:t>
      </w:r>
      <w:r>
        <w:rPr>
          <w:rFonts w:hint="eastAsia" w:ascii="仿宋_GB2312" w:hAnsi="仿宋" w:eastAsia="仿宋_GB2312" w:cs="仿宋_GB2312"/>
          <w:sz w:val="32"/>
          <w:szCs w:val="32"/>
          <w:lang w:val="en-US" w:eastAsia="zh-CN"/>
        </w:rPr>
        <w:t>9.53</w:t>
      </w:r>
      <w:r>
        <w:rPr>
          <w:rFonts w:hint="eastAsia" w:ascii="仿宋_GB2312" w:hAnsi="仿宋" w:eastAsia="仿宋_GB2312" w:cs="仿宋_GB2312"/>
          <w:sz w:val="32"/>
          <w:szCs w:val="32"/>
        </w:rPr>
        <w:t>％</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cs="仿宋_GB2312"/>
          <w:sz w:val="32"/>
          <w:szCs w:val="32"/>
        </w:rPr>
        <w:t>财政拨款收入</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万元，其中</w:t>
      </w:r>
      <w:r>
        <w:rPr>
          <w:rFonts w:hint="eastAsia" w:ascii="仿宋_GB2312" w:hAnsi="仿宋" w:eastAsia="仿宋_GB2312"/>
          <w:sz w:val="32"/>
          <w:szCs w:val="32"/>
        </w:rPr>
        <w:t>一般公共预算拨款收入</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万元，政府性基金拨款收入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万元，国有资本经营预算拨款收入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2.财政专户管理资金收入</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3.事业收入</w:t>
      </w:r>
      <w:r>
        <w:rPr>
          <w:rFonts w:hint="eastAsia" w:ascii="仿宋_GB2312" w:hAnsi="仿宋" w:eastAsia="仿宋_GB2312" w:cs="仿宋_GB2312"/>
          <w:sz w:val="32"/>
          <w:szCs w:val="32"/>
        </w:rPr>
        <w:t>1975.</w:t>
      </w:r>
      <w:r>
        <w:rPr>
          <w:rFonts w:hint="eastAsia" w:ascii="仿宋_GB2312" w:hAnsi="仿宋" w:eastAsia="仿宋_GB2312" w:cs="仿宋_GB2312"/>
          <w:sz w:val="32"/>
          <w:szCs w:val="32"/>
          <w:lang w:val="en-US" w:eastAsia="zh-CN"/>
        </w:rPr>
        <w:t>7</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4.事业单位经营收入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5.上级补助收入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6.附属单位上缴收入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.其他收入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.上年</w:t>
      </w:r>
      <w:r>
        <w:rPr>
          <w:rFonts w:ascii="仿宋_GB2312" w:hAnsi="仿宋" w:eastAsia="仿宋_GB2312"/>
          <w:sz w:val="32"/>
          <w:szCs w:val="32"/>
        </w:rPr>
        <w:t>结转</w:t>
      </w:r>
      <w:r>
        <w:rPr>
          <w:rFonts w:hint="eastAsia" w:ascii="仿宋_GB2312" w:hAnsi="仿宋" w:eastAsia="仿宋_GB2312"/>
          <w:sz w:val="32"/>
          <w:szCs w:val="32"/>
        </w:rPr>
        <w:t>结余</w:t>
      </w:r>
      <w:r>
        <w:rPr>
          <w:rFonts w:hint="eastAsia" w:ascii="仿宋_GB2312" w:hAnsi="仿宋" w:eastAsia="仿宋_GB2312" w:cs="仿宋_GB2312"/>
          <w:sz w:val="32"/>
          <w:szCs w:val="32"/>
        </w:rPr>
        <w:t>99.9</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sz w:val="32"/>
          <w:szCs w:val="32"/>
        </w:rPr>
        <w:t>（二）</w:t>
      </w:r>
      <w:r>
        <w:rPr>
          <w:rFonts w:hint="eastAsia" w:ascii="仿宋_GB2312" w:hAnsi="仿宋" w:eastAsia="仿宋_GB2312" w:cs="仿宋_GB2312"/>
          <w:sz w:val="32"/>
          <w:szCs w:val="32"/>
        </w:rPr>
        <w:t>厦门胡里山炮台保护中心</w:t>
      </w:r>
      <w:r>
        <w:rPr>
          <w:rFonts w:hint="eastAsia" w:ascii="仿宋_GB2312" w:hAnsi="仿宋" w:eastAsia="仿宋_GB2312"/>
          <w:sz w:val="32"/>
          <w:szCs w:val="32"/>
        </w:rPr>
        <w:t>2024年支出预算为</w:t>
      </w:r>
      <w:r>
        <w:rPr>
          <w:rFonts w:hint="eastAsia" w:ascii="仿宋_GB2312" w:hAnsi="仿宋_GB2312" w:eastAsia="仿宋_GB2312" w:cs="仿宋_GB2312"/>
          <w:kern w:val="2"/>
          <w:sz w:val="32"/>
          <w:szCs w:val="32"/>
          <w:lang w:val="en-US" w:eastAsia="zh-CN" w:bidi="ar-SA"/>
        </w:rPr>
        <w:t>2075.6</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cs="仿宋_GB2312"/>
          <w:color w:val="000000"/>
          <w:sz w:val="32"/>
          <w:szCs w:val="32"/>
        </w:rPr>
        <w:t>（</w:t>
      </w:r>
      <w:r>
        <w:rPr>
          <w:rFonts w:ascii="仿宋_GB2312" w:hAnsi="仿宋" w:eastAsia="仿宋_GB2312" w:cs="仿宋_GB2312"/>
          <w:color w:val="000000"/>
          <w:sz w:val="32"/>
          <w:szCs w:val="32"/>
        </w:rPr>
        <w:t>不含市对区转移支付</w:t>
      </w:r>
      <w:r>
        <w:rPr>
          <w:rFonts w:hint="eastAsia" w:ascii="仿宋_GB2312" w:hAnsi="仿宋" w:eastAsia="仿宋_GB2312" w:cs="仿宋_GB2312"/>
          <w:color w:val="000000"/>
          <w:sz w:val="32"/>
          <w:szCs w:val="32"/>
        </w:rPr>
        <w:t>项目</w:t>
      </w:r>
      <w:r>
        <w:rPr>
          <w:rFonts w:ascii="仿宋_GB2312" w:hAnsi="仿宋" w:eastAsia="仿宋_GB2312" w:cs="仿宋_GB2312"/>
          <w:color w:val="000000"/>
          <w:sz w:val="32"/>
          <w:szCs w:val="32"/>
        </w:rPr>
        <w:t>）</w:t>
      </w:r>
      <w:r>
        <w:rPr>
          <w:rFonts w:hint="eastAsia" w:ascii="仿宋_GB2312" w:hAnsi="仿宋" w:eastAsia="仿宋_GB2312"/>
          <w:sz w:val="32"/>
          <w:szCs w:val="32"/>
        </w:rPr>
        <w:t>，</w:t>
      </w:r>
      <w:r>
        <w:rPr>
          <w:rFonts w:hint="eastAsia" w:ascii="仿宋_GB2312" w:hAnsi="仿宋" w:eastAsia="仿宋_GB2312" w:cs="仿宋_GB2312"/>
          <w:sz w:val="32"/>
          <w:szCs w:val="32"/>
        </w:rPr>
        <w:t>比2023年预算数增加</w:t>
      </w:r>
      <w:r>
        <w:rPr>
          <w:rFonts w:hint="eastAsia" w:ascii="仿宋_GB2312" w:hAnsi="仿宋" w:eastAsia="仿宋_GB2312" w:cs="仿宋_GB2312"/>
          <w:sz w:val="32"/>
          <w:szCs w:val="32"/>
          <w:lang w:val="en-US" w:eastAsia="zh-CN"/>
        </w:rPr>
        <w:t>180.67</w:t>
      </w:r>
      <w:r>
        <w:rPr>
          <w:rFonts w:hint="eastAsia" w:ascii="仿宋_GB2312" w:hAnsi="仿宋" w:eastAsia="仿宋_GB2312" w:cs="仿宋_GB2312"/>
          <w:sz w:val="32"/>
          <w:szCs w:val="32"/>
        </w:rPr>
        <w:t>万元，增长</w:t>
      </w:r>
      <w:r>
        <w:rPr>
          <w:rFonts w:hint="eastAsia" w:ascii="仿宋_GB2312" w:hAnsi="仿宋" w:eastAsia="仿宋_GB2312" w:cs="仿宋_GB2312"/>
          <w:sz w:val="32"/>
          <w:szCs w:val="32"/>
          <w:lang w:val="en-US" w:eastAsia="zh-CN"/>
        </w:rPr>
        <w:t>9.53</w:t>
      </w:r>
      <w:r>
        <w:rPr>
          <w:rFonts w:hint="eastAsia" w:ascii="仿宋_GB2312" w:hAnsi="仿宋" w:eastAsia="仿宋_GB2312" w:cs="仿宋_GB2312"/>
          <w:sz w:val="32"/>
          <w:szCs w:val="32"/>
        </w:rPr>
        <w:t>％</w:t>
      </w:r>
      <w:r>
        <w:rPr>
          <w:rFonts w:hint="eastAsia" w:ascii="仿宋_GB2312" w:eastAsia="仿宋_GB2312"/>
          <w:sz w:val="32"/>
          <w:szCs w:val="32"/>
        </w:rPr>
        <w:t>，</w:t>
      </w:r>
      <w:r>
        <w:rPr>
          <w:rFonts w:hint="eastAsia" w:ascii="仿宋_GB2312" w:hAnsi="仿宋" w:eastAsia="仿宋_GB2312" w:cs="仿宋_GB2312"/>
          <w:sz w:val="32"/>
          <w:szCs w:val="32"/>
        </w:rPr>
        <w:t>具体情况如下：</w:t>
      </w:r>
    </w:p>
    <w:p>
      <w:pPr>
        <w:tabs>
          <w:tab w:val="left" w:pos="7513"/>
        </w:tabs>
        <w:adjustRightInd w:val="0"/>
        <w:snapToGrid w:val="0"/>
        <w:spacing w:line="560" w:lineRule="exact"/>
        <w:ind w:firstLine="640" w:firstLineChars="200"/>
        <w:rPr>
          <w:rFonts w:hint="eastAsia" w:ascii="仿宋_GB2312" w:hAnsi="仿宋" w:eastAsia="仿宋_GB2312"/>
          <w:color w:val="0000FF"/>
          <w:sz w:val="32"/>
          <w:szCs w:val="32"/>
        </w:rPr>
      </w:pPr>
      <w:r>
        <w:rPr>
          <w:rFonts w:hint="eastAsia" w:ascii="仿宋_GB2312" w:hAnsi="仿宋" w:eastAsia="仿宋_GB2312"/>
          <w:sz w:val="32"/>
          <w:szCs w:val="32"/>
        </w:rPr>
        <w:t>1.财政拨款基本支出</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万元，其中，人员支出</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万元，公用支出</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color w:val="0000FF"/>
          <w:sz w:val="32"/>
          <w:szCs w:val="32"/>
        </w:rPr>
        <w:t>；</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2.财政拨款项目支出</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3.非</w:t>
      </w:r>
      <w:r>
        <w:rPr>
          <w:rFonts w:ascii="仿宋_GB2312" w:hAnsi="仿宋" w:eastAsia="仿宋_GB2312"/>
          <w:sz w:val="32"/>
          <w:szCs w:val="32"/>
        </w:rPr>
        <w:t>财政拨款</w:t>
      </w:r>
      <w:r>
        <w:rPr>
          <w:rFonts w:hint="eastAsia" w:ascii="仿宋_GB2312" w:hAnsi="仿宋" w:eastAsia="仿宋_GB2312"/>
          <w:sz w:val="32"/>
          <w:szCs w:val="32"/>
        </w:rPr>
        <w:t>支出</w:t>
      </w:r>
      <w:r>
        <w:rPr>
          <w:rFonts w:hint="eastAsia" w:ascii="仿宋_GB2312" w:hAnsi="仿宋_GB2312" w:eastAsia="仿宋_GB2312" w:cs="仿宋_GB2312"/>
          <w:kern w:val="2"/>
          <w:sz w:val="32"/>
          <w:szCs w:val="32"/>
          <w:lang w:val="en-US" w:eastAsia="zh-CN" w:bidi="ar-SA"/>
        </w:rPr>
        <w:t>2075.6</w:t>
      </w:r>
      <w:r>
        <w:rPr>
          <w:rFonts w:hint="eastAsia" w:ascii="仿宋_GB2312" w:hAnsi="仿宋" w:eastAsia="仿宋_GB2312" w:cs="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w:t>
      </w:r>
      <w:r>
        <w:rPr>
          <w:rFonts w:hint="eastAsia" w:ascii="仿宋_GB2312" w:hAnsi="仿宋" w:eastAsia="仿宋_GB2312" w:cs="仿宋_GB2312"/>
          <w:sz w:val="32"/>
          <w:szCs w:val="32"/>
        </w:rPr>
        <w:t>厦门胡里山炮台保护中心</w:t>
      </w:r>
      <w:r>
        <w:rPr>
          <w:rFonts w:hint="eastAsia" w:ascii="仿宋_GB2312" w:hAnsi="仿宋" w:eastAsia="仿宋_GB2312"/>
          <w:sz w:val="32"/>
          <w:szCs w:val="32"/>
        </w:rPr>
        <w:t>2024年市对区转移</w:t>
      </w:r>
      <w:r>
        <w:rPr>
          <w:rFonts w:ascii="仿宋_GB2312" w:hAnsi="仿宋" w:eastAsia="仿宋_GB2312"/>
          <w:sz w:val="32"/>
          <w:szCs w:val="32"/>
        </w:rPr>
        <w:t>支付项目</w:t>
      </w:r>
      <w:r>
        <w:rPr>
          <w:rFonts w:hint="eastAsia" w:ascii="仿宋_GB2312" w:hAnsi="仿宋" w:eastAsia="仿宋_GB2312"/>
          <w:sz w:val="32"/>
          <w:szCs w:val="32"/>
        </w:rPr>
        <w:t>预算为</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7513"/>
        </w:tabs>
        <w:adjustRightInd w:val="0"/>
        <w:snapToGrid w:val="0"/>
        <w:spacing w:line="560"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二、一般公共预算财政拨款支出预算情况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宋体"/>
          <w:bCs/>
          <w:sz w:val="32"/>
          <w:szCs w:val="32"/>
        </w:rPr>
        <w:t>2024年</w:t>
      </w:r>
      <w:r>
        <w:rPr>
          <w:rFonts w:hint="eastAsia" w:ascii="仿宋_GB2312" w:hAnsi="仿宋" w:eastAsia="仿宋_GB2312" w:cs="仿宋_GB2312"/>
          <w:sz w:val="32"/>
          <w:szCs w:val="32"/>
        </w:rPr>
        <w:t>度一般公共预算支出</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w:t>
      </w:r>
      <w:r>
        <w:rPr>
          <w:rFonts w:ascii="仿宋_GB2312" w:hAnsi="仿宋" w:eastAsia="仿宋_GB2312" w:cs="仿宋_GB2312"/>
          <w:sz w:val="32"/>
          <w:szCs w:val="32"/>
        </w:rPr>
        <w:t>不含市对区转移支付</w:t>
      </w:r>
      <w:r>
        <w:rPr>
          <w:rFonts w:hint="eastAsia" w:ascii="仿宋_GB2312" w:hAnsi="仿宋" w:eastAsia="仿宋_GB2312" w:cs="仿宋_GB2312"/>
          <w:sz w:val="32"/>
          <w:szCs w:val="32"/>
        </w:rPr>
        <w:t>项目</w:t>
      </w:r>
      <w:r>
        <w:rPr>
          <w:rFonts w:ascii="仿宋_GB2312" w:hAnsi="仿宋" w:eastAsia="仿宋_GB2312" w:cs="仿宋_GB2312"/>
          <w:sz w:val="32"/>
          <w:szCs w:val="32"/>
        </w:rPr>
        <w:t>）</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与</w:t>
      </w:r>
      <w:r>
        <w:rPr>
          <w:rFonts w:hint="eastAsia" w:ascii="仿宋_GB2312" w:hAnsi="仿宋" w:eastAsia="仿宋_GB2312" w:cs="仿宋_GB2312"/>
          <w:sz w:val="32"/>
          <w:szCs w:val="32"/>
        </w:rPr>
        <w:t>2023年预算数持平，主要是由于</w:t>
      </w:r>
      <w:r>
        <w:rPr>
          <w:rFonts w:hint="eastAsia" w:ascii="仿宋_GB2312" w:hAnsi="华文仿宋" w:eastAsia="仿宋_GB2312"/>
          <w:sz w:val="32"/>
        </w:rPr>
        <w:t>厦门胡里山炮台保护中心为自收自支事业单位，没有使用一般公共预算财政拨款安排支出</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三、政府性基金预算</w:t>
      </w:r>
      <w:r>
        <w:rPr>
          <w:rFonts w:hint="eastAsia" w:ascii="黑体" w:hAnsi="黑体" w:eastAsia="黑体" w:cs="仿宋_GB2312"/>
          <w:bCs/>
          <w:sz w:val="32"/>
          <w:szCs w:val="32"/>
        </w:rPr>
        <w:t>财政拨款</w:t>
      </w:r>
      <w:r>
        <w:rPr>
          <w:rFonts w:hint="eastAsia" w:ascii="黑体" w:hAnsi="黑体" w:eastAsia="黑体" w:cs="仿宋_GB2312"/>
          <w:sz w:val="32"/>
          <w:szCs w:val="32"/>
        </w:rPr>
        <w:t>支出情况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2024年度政府性基金支出</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w:t>
      </w:r>
      <w:r>
        <w:rPr>
          <w:rFonts w:ascii="仿宋_GB2312" w:hAnsi="仿宋" w:eastAsia="仿宋_GB2312" w:cs="仿宋_GB2312"/>
          <w:sz w:val="32"/>
          <w:szCs w:val="32"/>
        </w:rPr>
        <w:t>不含市对区转移支付</w:t>
      </w:r>
      <w:r>
        <w:rPr>
          <w:rFonts w:hint="eastAsia" w:ascii="仿宋_GB2312" w:hAnsi="仿宋" w:eastAsia="仿宋_GB2312" w:cs="仿宋_GB2312"/>
          <w:sz w:val="32"/>
          <w:szCs w:val="32"/>
        </w:rPr>
        <w:t>项目</w:t>
      </w:r>
      <w:r>
        <w:rPr>
          <w:rFonts w:ascii="仿宋_GB2312" w:hAnsi="仿宋" w:eastAsia="仿宋_GB2312" w:cs="仿宋_GB2312"/>
          <w:sz w:val="32"/>
          <w:szCs w:val="32"/>
        </w:rPr>
        <w:t>）</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与</w:t>
      </w:r>
      <w:r>
        <w:rPr>
          <w:rFonts w:hint="eastAsia" w:ascii="仿宋_GB2312" w:hAnsi="仿宋" w:eastAsia="仿宋_GB2312" w:cs="仿宋_GB2312"/>
          <w:sz w:val="32"/>
          <w:szCs w:val="32"/>
        </w:rPr>
        <w:t>2023年预算数持平，主要是由于</w:t>
      </w:r>
      <w:r>
        <w:rPr>
          <w:rFonts w:hint="eastAsia" w:ascii="仿宋_GB2312" w:hAnsi="华文仿宋" w:eastAsia="仿宋_GB2312"/>
          <w:sz w:val="32"/>
        </w:rPr>
        <w:t>厦门胡里山炮台保护中心为自收自支事业单位，没有使用政府性基金预算拨款安排支出</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四、“三公”经费财政拨款预算情况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kern w:val="0"/>
          <w:sz w:val="32"/>
          <w:szCs w:val="32"/>
        </w:rPr>
        <w:t>厦门胡里山炮台保护中心2024年</w:t>
      </w:r>
      <w:r>
        <w:rPr>
          <w:rFonts w:hint="eastAsia" w:ascii="仿宋_GB2312" w:hAnsi="仿宋" w:eastAsia="仿宋_GB2312" w:cs="宋体"/>
          <w:kern w:val="0"/>
          <w:sz w:val="32"/>
          <w:szCs w:val="32"/>
        </w:rPr>
        <w:t>“三公”经费财政拨款预算数为</w:t>
      </w:r>
      <w:r>
        <w:rPr>
          <w:rFonts w:hint="eastAsia" w:ascii="仿宋_GB2312" w:hAnsi="仿宋" w:eastAsia="仿宋_GB2312" w:cs="仿宋_GB2312"/>
          <w:kern w:val="0"/>
          <w:sz w:val="32"/>
          <w:szCs w:val="32"/>
          <w:lang w:val="en-US" w:eastAsia="zh-CN"/>
        </w:rPr>
        <w:t>0</w:t>
      </w:r>
      <w:r>
        <w:rPr>
          <w:rFonts w:hint="eastAsia" w:ascii="仿宋_GB2312" w:hAnsi="仿宋" w:eastAsia="仿宋_GB2312" w:cs="宋体"/>
          <w:kern w:val="0"/>
          <w:sz w:val="32"/>
          <w:szCs w:val="32"/>
        </w:rPr>
        <w:t>万元，其中</w:t>
      </w:r>
      <w:r>
        <w:rPr>
          <w:rFonts w:hint="eastAsia" w:ascii="仿宋_GB2312" w:hAnsi="仿宋" w:eastAsia="仿宋_GB2312" w:cs="仿宋_GB2312"/>
          <w:sz w:val="32"/>
          <w:szCs w:val="32"/>
        </w:rPr>
        <w:t>：因公出国（境）经费</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万元，公务接待费</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万元，公务用车购置及运行费</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万元。具体情况如下：</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楷体_GB2312" w:hAnsi="仿宋" w:eastAsia="楷体_GB2312" w:cs="仿宋_GB2312"/>
          <w:sz w:val="32"/>
          <w:szCs w:val="32"/>
        </w:rPr>
        <w:t>（一）因公出国（境）经费</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2024年预算安排</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与</w:t>
      </w:r>
      <w:r>
        <w:rPr>
          <w:rFonts w:hint="eastAsia" w:ascii="仿宋_GB2312" w:hAnsi="仿宋" w:eastAsia="仿宋_GB2312" w:cs="宋体"/>
          <w:bCs/>
          <w:sz w:val="32"/>
          <w:szCs w:val="32"/>
        </w:rPr>
        <w:t>上</w:t>
      </w:r>
      <w:r>
        <w:rPr>
          <w:rFonts w:hint="eastAsia" w:ascii="仿宋_GB2312" w:hAnsi="仿宋" w:eastAsia="仿宋_GB2312" w:cs="仿宋_GB2312"/>
          <w:sz w:val="32"/>
          <w:szCs w:val="32"/>
        </w:rPr>
        <w:t>年预算持平，主要原因是:</w:t>
      </w:r>
      <w:r>
        <w:rPr>
          <w:rFonts w:hint="eastAsia" w:ascii="仿宋_GB2312" w:hAnsi="华文仿宋" w:eastAsia="仿宋_GB2312"/>
          <w:sz w:val="32"/>
        </w:rPr>
        <w:t>厦门胡里山炮台保护中心为自收自支事业单位，无因公出国（境）经费财政拨款</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（二）公务接待费</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宋体"/>
          <w:kern w:val="0"/>
          <w:sz w:val="32"/>
          <w:szCs w:val="32"/>
        </w:rPr>
        <w:t>2024年预算安排</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w:t>
      </w:r>
      <w:r>
        <w:rPr>
          <w:rFonts w:hint="eastAsia" w:ascii="仿宋_GB2312" w:hAnsi="仿宋" w:eastAsia="仿宋_GB2312" w:cs="仿宋_GB2312"/>
          <w:sz w:val="32"/>
          <w:szCs w:val="32"/>
        </w:rPr>
        <w:t>与</w:t>
      </w:r>
      <w:r>
        <w:rPr>
          <w:rFonts w:hint="eastAsia" w:ascii="仿宋_GB2312" w:hAnsi="仿宋" w:eastAsia="仿宋_GB2312" w:cs="宋体"/>
          <w:bCs/>
          <w:sz w:val="32"/>
          <w:szCs w:val="32"/>
        </w:rPr>
        <w:t>上</w:t>
      </w:r>
      <w:r>
        <w:rPr>
          <w:rFonts w:hint="eastAsia" w:ascii="仿宋_GB2312" w:hAnsi="仿宋" w:eastAsia="仿宋_GB2312" w:cs="仿宋_GB2312"/>
          <w:sz w:val="32"/>
          <w:szCs w:val="32"/>
        </w:rPr>
        <w:t>年预算持平，主要原因是:</w:t>
      </w:r>
      <w:r>
        <w:rPr>
          <w:rFonts w:hint="eastAsia" w:ascii="仿宋_GB2312" w:hAnsi="华文仿宋" w:eastAsia="仿宋_GB2312"/>
          <w:sz w:val="32"/>
        </w:rPr>
        <w:t>厦门胡里山炮台保护中心为自收自支事业单位，无因公出国（境）经费财政拨款</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（三）公务用车购置及运行费</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rPr>
        <w:t>2024年</w:t>
      </w:r>
      <w:r>
        <w:rPr>
          <w:rFonts w:hint="eastAsia" w:ascii="仿宋_GB2312" w:hAnsi="仿宋" w:eastAsia="仿宋_GB2312" w:cs="宋体"/>
          <w:kern w:val="0"/>
          <w:sz w:val="32"/>
          <w:szCs w:val="32"/>
        </w:rPr>
        <w:t>预算安排</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万元，其中：公务用车运行费</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万元，主要用于公务用车燃油、维修、保险等方面支出；公务用车购置费</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万元。与上年预算相比持平，主要原因是:</w:t>
      </w:r>
      <w:r>
        <w:rPr>
          <w:rFonts w:hint="eastAsia" w:ascii="仿宋_GB2312" w:hAnsi="华文仿宋" w:eastAsia="仿宋_GB2312"/>
          <w:sz w:val="32"/>
        </w:rPr>
        <w:t xml:space="preserve"> 厦门胡里山炮台保护中心为自收自支事业单位，无公务用车购置及运行费财政拨款</w:t>
      </w:r>
      <w:r>
        <w:rPr>
          <w:rFonts w:hint="eastAsia" w:ascii="仿宋_GB2312" w:hAnsi="仿宋" w:eastAsia="仿宋_GB2312" w:cs="宋体"/>
          <w:kern w:val="0"/>
          <w:sz w:val="32"/>
          <w:szCs w:val="32"/>
        </w:rPr>
        <w:t>。</w:t>
      </w:r>
    </w:p>
    <w:p>
      <w:pPr>
        <w:tabs>
          <w:tab w:val="left" w:pos="7513"/>
        </w:tabs>
        <w:adjustRightInd w:val="0"/>
        <w:snapToGrid w:val="0"/>
        <w:spacing w:line="560"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五、其他重要事项的情况说明</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（一）机关运行经费</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2024年厦门胡里山炮台保护中心的机关运行经费财政拨款预算</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与</w:t>
      </w:r>
      <w:r>
        <w:rPr>
          <w:rFonts w:hint="eastAsia" w:ascii="仿宋_GB2312" w:hAnsi="仿宋" w:eastAsia="仿宋_GB2312" w:cs="宋体"/>
          <w:kern w:val="0"/>
          <w:sz w:val="32"/>
          <w:szCs w:val="32"/>
        </w:rPr>
        <w:t>2023年预算</w:t>
      </w:r>
      <w:r>
        <w:rPr>
          <w:rFonts w:hint="eastAsia" w:ascii="仿宋_GB2312" w:hAnsi="仿宋" w:eastAsia="仿宋_GB2312" w:cs="宋体"/>
          <w:kern w:val="0"/>
          <w:sz w:val="32"/>
          <w:szCs w:val="32"/>
          <w:lang w:eastAsia="zh-CN"/>
        </w:rPr>
        <w:t>持平，</w:t>
      </w:r>
      <w:r>
        <w:rPr>
          <w:rFonts w:hint="eastAsia" w:ascii="仿宋_GB2312" w:hAnsi="仿宋" w:eastAsia="仿宋_GB2312" w:cs="宋体"/>
          <w:kern w:val="0"/>
          <w:sz w:val="32"/>
          <w:szCs w:val="32"/>
        </w:rPr>
        <w:t>主要原因是厦门胡里山炮台保护中心为自收自支事业单位，无机关运行经费。</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（二）政府采购情况</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2024年厦门胡里山炮台保护中心政府采购预算总额</w:t>
      </w:r>
      <w:r>
        <w:rPr>
          <w:rFonts w:hint="eastAsia" w:ascii="仿宋_GB2312" w:hAnsi="仿宋" w:eastAsia="仿宋_GB2312" w:cs="宋体"/>
          <w:kern w:val="0"/>
          <w:sz w:val="32"/>
          <w:szCs w:val="32"/>
          <w:lang w:val="en-US" w:eastAsia="zh-CN"/>
        </w:rPr>
        <w:t>1.3</w:t>
      </w:r>
      <w:r>
        <w:rPr>
          <w:rFonts w:hint="eastAsia" w:ascii="仿宋_GB2312" w:hAnsi="仿宋" w:eastAsia="仿宋_GB2312" w:cs="宋体"/>
          <w:kern w:val="0"/>
          <w:sz w:val="32"/>
          <w:szCs w:val="32"/>
        </w:rPr>
        <w:t>万元，其中：政府采购货物预算</w:t>
      </w:r>
      <w:r>
        <w:rPr>
          <w:rFonts w:hint="eastAsia" w:ascii="仿宋_GB2312" w:hAnsi="仿宋" w:eastAsia="仿宋_GB2312" w:cs="宋体"/>
          <w:kern w:val="0"/>
          <w:sz w:val="32"/>
          <w:szCs w:val="32"/>
          <w:lang w:val="en-US" w:eastAsia="zh-CN"/>
        </w:rPr>
        <w:t>1.3</w:t>
      </w:r>
      <w:r>
        <w:rPr>
          <w:rFonts w:hint="eastAsia" w:ascii="仿宋_GB2312" w:hAnsi="仿宋" w:eastAsia="仿宋_GB2312" w:cs="宋体"/>
          <w:kern w:val="0"/>
          <w:sz w:val="32"/>
          <w:szCs w:val="32"/>
        </w:rPr>
        <w:t>万元，政府采购工程预算</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万元，政府采购服务预算</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（三）国有资产占有使用情况</w:t>
      </w:r>
    </w:p>
    <w:p>
      <w:pPr>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宋体" w:eastAsia="仿宋_GB2312" w:cs="宋体"/>
          <w:kern w:val="0"/>
          <w:sz w:val="32"/>
          <w:szCs w:val="32"/>
        </w:rPr>
        <w:t>截</w:t>
      </w:r>
      <w:r>
        <w:rPr>
          <w:rFonts w:hint="eastAsia" w:ascii="仿宋_GB2312" w:hAnsi="仿宋" w:eastAsia="仿宋_GB2312" w:cs="仿宋_GB2312"/>
          <w:sz w:val="32"/>
          <w:szCs w:val="32"/>
        </w:rPr>
        <w:t>至2023年12月31日，厦门胡里山炮台保护中心共有车辆</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辆，</w:t>
      </w:r>
      <w:r>
        <w:rPr>
          <w:rFonts w:ascii="仿宋_GB2312" w:hAnsi="仿宋" w:eastAsia="仿宋_GB2312" w:cs="仿宋_GB2312"/>
          <w:sz w:val="32"/>
          <w:szCs w:val="32"/>
        </w:rPr>
        <w:t>单位价值100万以上专用设备</w:t>
      </w:r>
      <w:r>
        <w:rPr>
          <w:rFonts w:hint="eastAsia" w:ascii="仿宋_GB2312" w:hAnsi="仿宋" w:eastAsia="仿宋_GB2312" w:cs="仿宋_GB2312"/>
          <w:sz w:val="32"/>
          <w:szCs w:val="32"/>
          <w:lang w:val="en-US" w:eastAsia="zh-CN"/>
        </w:rPr>
        <w:t>0</w:t>
      </w:r>
      <w:r>
        <w:rPr>
          <w:rFonts w:ascii="仿宋_GB2312" w:hAnsi="仿宋" w:eastAsia="仿宋_GB2312" w:cs="仿宋_GB2312"/>
          <w:sz w:val="32"/>
          <w:szCs w:val="32"/>
        </w:rPr>
        <w:t>台（套）</w:t>
      </w:r>
      <w:r>
        <w:rPr>
          <w:rFonts w:hint="eastAsia" w:ascii="仿宋_GB2312" w:hAnsi="仿宋" w:eastAsia="仿宋_GB2312" w:cs="仿宋_GB2312"/>
          <w:sz w:val="32"/>
          <w:szCs w:val="32"/>
        </w:rPr>
        <w:t>。</w:t>
      </w:r>
    </w:p>
    <w:p>
      <w:pPr>
        <w:tabs>
          <w:tab w:val="left" w:pos="7513"/>
        </w:tabs>
        <w:adjustRightInd w:val="0"/>
        <w:snapToGrid w:val="0"/>
        <w:spacing w:line="560" w:lineRule="exact"/>
        <w:ind w:firstLine="640" w:firstLineChars="200"/>
        <w:rPr>
          <w:rFonts w:hint="eastAsia" w:ascii="楷体_GB2312" w:hAnsi="仿宋" w:eastAsia="楷体_GB2312" w:cs="仿宋_GB2312"/>
          <w:sz w:val="32"/>
          <w:szCs w:val="32"/>
        </w:rPr>
      </w:pPr>
      <w:r>
        <w:rPr>
          <w:rFonts w:hint="eastAsia" w:ascii="楷体_GB2312" w:hAnsi="仿宋" w:eastAsia="楷体_GB2312" w:cs="仿宋_GB2312"/>
          <w:sz w:val="32"/>
          <w:szCs w:val="32"/>
        </w:rPr>
        <w:t>（四）绩效目标设置情况</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仿宋_GB2312"/>
          <w:sz w:val="32"/>
          <w:szCs w:val="32"/>
        </w:rPr>
        <w:t>厦门胡里山炮台保护中心</w:t>
      </w:r>
      <w:r>
        <w:rPr>
          <w:rFonts w:hint="eastAsia" w:ascii="仿宋_GB2312" w:hAnsi="宋体" w:eastAsia="仿宋_GB2312" w:cs="宋体"/>
          <w:kern w:val="0"/>
          <w:sz w:val="32"/>
          <w:szCs w:val="32"/>
        </w:rPr>
        <w:t>2024年实行绩效目标管理的二级项目</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个，涉及一般公共预算拨款</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政府性基金预算拨款</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tabs>
          <w:tab w:val="left" w:pos="7513"/>
        </w:tabs>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一、基本支出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指为保障机构正常运转、完成日常工作任务而发生的人员支出、对个人和家庭的补助支出和公用支出。</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二、项目支出</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指在基本支出之外为完成特定行政任务和事业发展目标所发生的支出，</w:t>
      </w:r>
      <w:r>
        <w:rPr>
          <w:rFonts w:hint="eastAsia" w:ascii="仿宋_GB2312" w:hAnsi="仿宋" w:eastAsia="仿宋_GB2312"/>
          <w:sz w:val="32"/>
          <w:szCs w:val="32"/>
        </w:rPr>
        <w:t>包括部门专项、发展经费和基建项目。</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三、“三公”经费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燃料费、维修费、过路过桥费、保险费、安全奖励费用等支出；公务接待费反映单位按规定开支的各类公务接待（含外宾接待）支出。</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四、机关运行经费</w:t>
      </w:r>
      <w:r>
        <w:rPr>
          <w:rFonts w:hint="eastAsia" w:ascii="楷体_GB2312" w:hAnsi="仿宋" w:eastAsia="楷体_GB2312" w:cs="宋体"/>
          <w:kern w:val="0"/>
          <w:sz w:val="32"/>
          <w:szCs w:val="32"/>
        </w:rPr>
        <w:t>：</w:t>
      </w:r>
      <w:r>
        <w:rPr>
          <w:rFonts w:hint="eastAsia" w:ascii="仿宋_GB2312" w:hAnsi="仿宋" w:eastAsia="仿宋_GB2312" w:cs="宋体"/>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tabs>
          <w:tab w:val="left" w:pos="7513"/>
        </w:tabs>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楷体_GB2312" w:hAnsi="仿宋" w:eastAsia="楷体_GB2312" w:cs="仿宋_GB2312"/>
          <w:sz w:val="32"/>
          <w:szCs w:val="32"/>
        </w:rPr>
        <w:t>五、其他名词解释</w:t>
      </w:r>
      <w:r>
        <w:rPr>
          <w:rFonts w:hint="eastAsia" w:ascii="仿宋_GB2312" w:hAnsi="仿宋" w:eastAsia="仿宋_GB2312" w:cs="仿宋_GB2312"/>
          <w:sz w:val="32"/>
          <w:szCs w:val="32"/>
        </w:rPr>
        <w:t>。</w:t>
      </w:r>
    </w:p>
    <w:p>
      <w:pPr>
        <w:tabs>
          <w:tab w:val="left" w:pos="7513"/>
        </w:tabs>
        <w:adjustRightInd w:val="0"/>
        <w:snapToGrid w:val="0"/>
        <w:spacing w:line="560" w:lineRule="exact"/>
        <w:jc w:val="center"/>
        <w:rPr>
          <w:rFonts w:hint="eastAsia" w:ascii="黑体" w:hAnsi="黑体" w:eastAsia="黑体"/>
          <w:sz w:val="32"/>
          <w:szCs w:val="32"/>
        </w:rPr>
      </w:pPr>
      <w:r>
        <w:rPr>
          <w:rFonts w:hint="eastAsia" w:ascii="黑体" w:hAnsi="黑体" w:eastAsia="黑体"/>
          <w:sz w:val="32"/>
          <w:szCs w:val="32"/>
        </w:rPr>
        <w:t>第四部分  2024年单位预算附表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五、一般公共预算支出情况表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sectPr>
      <w:footerReference r:id="rId3" w:type="default"/>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eastAsia="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9EE"/>
    <w:rsid w:val="00011F70"/>
    <w:rsid w:val="00027C23"/>
    <w:rsid w:val="0003535B"/>
    <w:rsid w:val="0004084D"/>
    <w:rsid w:val="00044A26"/>
    <w:rsid w:val="0004760B"/>
    <w:rsid w:val="00054D99"/>
    <w:rsid w:val="00056AA5"/>
    <w:rsid w:val="00060888"/>
    <w:rsid w:val="00063F98"/>
    <w:rsid w:val="00072629"/>
    <w:rsid w:val="00072B3C"/>
    <w:rsid w:val="00081679"/>
    <w:rsid w:val="00083C6E"/>
    <w:rsid w:val="00086542"/>
    <w:rsid w:val="00087142"/>
    <w:rsid w:val="000911B3"/>
    <w:rsid w:val="00093C88"/>
    <w:rsid w:val="000A347D"/>
    <w:rsid w:val="000A4E2D"/>
    <w:rsid w:val="000B20BF"/>
    <w:rsid w:val="000B270F"/>
    <w:rsid w:val="000B35E3"/>
    <w:rsid w:val="000B513A"/>
    <w:rsid w:val="000C4473"/>
    <w:rsid w:val="000C6902"/>
    <w:rsid w:val="000D1FE9"/>
    <w:rsid w:val="000D510A"/>
    <w:rsid w:val="000F4A1F"/>
    <w:rsid w:val="00102DE3"/>
    <w:rsid w:val="00110A43"/>
    <w:rsid w:val="001123C2"/>
    <w:rsid w:val="001244C3"/>
    <w:rsid w:val="00124782"/>
    <w:rsid w:val="00142E7E"/>
    <w:rsid w:val="00143956"/>
    <w:rsid w:val="0015430D"/>
    <w:rsid w:val="00183D9F"/>
    <w:rsid w:val="00194CDC"/>
    <w:rsid w:val="001C07A2"/>
    <w:rsid w:val="001C0C70"/>
    <w:rsid w:val="001C2BCE"/>
    <w:rsid w:val="001C3D19"/>
    <w:rsid w:val="001D0C18"/>
    <w:rsid w:val="001E3029"/>
    <w:rsid w:val="001E746A"/>
    <w:rsid w:val="001F081D"/>
    <w:rsid w:val="001F2BC8"/>
    <w:rsid w:val="00202FAB"/>
    <w:rsid w:val="0021318E"/>
    <w:rsid w:val="0021633F"/>
    <w:rsid w:val="00225095"/>
    <w:rsid w:val="002258C2"/>
    <w:rsid w:val="002347BE"/>
    <w:rsid w:val="00246FE3"/>
    <w:rsid w:val="00277C09"/>
    <w:rsid w:val="00283F0D"/>
    <w:rsid w:val="00285B27"/>
    <w:rsid w:val="00291E51"/>
    <w:rsid w:val="0029486A"/>
    <w:rsid w:val="0029523A"/>
    <w:rsid w:val="002B3799"/>
    <w:rsid w:val="002B69EC"/>
    <w:rsid w:val="002D5926"/>
    <w:rsid w:val="002E6C9E"/>
    <w:rsid w:val="00302554"/>
    <w:rsid w:val="003059CE"/>
    <w:rsid w:val="00312757"/>
    <w:rsid w:val="0032657E"/>
    <w:rsid w:val="003343CA"/>
    <w:rsid w:val="0033593B"/>
    <w:rsid w:val="00347920"/>
    <w:rsid w:val="00352459"/>
    <w:rsid w:val="003525EC"/>
    <w:rsid w:val="00354087"/>
    <w:rsid w:val="00357878"/>
    <w:rsid w:val="003834C7"/>
    <w:rsid w:val="003A03A0"/>
    <w:rsid w:val="003A03CF"/>
    <w:rsid w:val="003B2FEF"/>
    <w:rsid w:val="003C0048"/>
    <w:rsid w:val="003C0D08"/>
    <w:rsid w:val="003C20FA"/>
    <w:rsid w:val="003C733B"/>
    <w:rsid w:val="003D2484"/>
    <w:rsid w:val="003D7735"/>
    <w:rsid w:val="003E7566"/>
    <w:rsid w:val="003F0251"/>
    <w:rsid w:val="003F32FF"/>
    <w:rsid w:val="003F5F7C"/>
    <w:rsid w:val="00400714"/>
    <w:rsid w:val="00417CF8"/>
    <w:rsid w:val="00422335"/>
    <w:rsid w:val="0042325D"/>
    <w:rsid w:val="00423AC8"/>
    <w:rsid w:val="00443846"/>
    <w:rsid w:val="00446FD2"/>
    <w:rsid w:val="004663AD"/>
    <w:rsid w:val="004679D8"/>
    <w:rsid w:val="00471C45"/>
    <w:rsid w:val="00480BA7"/>
    <w:rsid w:val="00485870"/>
    <w:rsid w:val="00486465"/>
    <w:rsid w:val="004867E1"/>
    <w:rsid w:val="0048698C"/>
    <w:rsid w:val="00491635"/>
    <w:rsid w:val="00496E51"/>
    <w:rsid w:val="00496F04"/>
    <w:rsid w:val="004B2261"/>
    <w:rsid w:val="004B2B80"/>
    <w:rsid w:val="004B4962"/>
    <w:rsid w:val="004B7707"/>
    <w:rsid w:val="004C4011"/>
    <w:rsid w:val="004D0752"/>
    <w:rsid w:val="004D2314"/>
    <w:rsid w:val="004D3655"/>
    <w:rsid w:val="004D40B2"/>
    <w:rsid w:val="004D54E5"/>
    <w:rsid w:val="0050745E"/>
    <w:rsid w:val="00507955"/>
    <w:rsid w:val="00512512"/>
    <w:rsid w:val="00521970"/>
    <w:rsid w:val="00531E06"/>
    <w:rsid w:val="005320B4"/>
    <w:rsid w:val="00541432"/>
    <w:rsid w:val="005465A8"/>
    <w:rsid w:val="00547EA9"/>
    <w:rsid w:val="00561A40"/>
    <w:rsid w:val="00566B8A"/>
    <w:rsid w:val="00576E40"/>
    <w:rsid w:val="0058236E"/>
    <w:rsid w:val="005901C5"/>
    <w:rsid w:val="0059684A"/>
    <w:rsid w:val="005A43C7"/>
    <w:rsid w:val="005B0791"/>
    <w:rsid w:val="005C3DC9"/>
    <w:rsid w:val="005D73C2"/>
    <w:rsid w:val="005E0B0C"/>
    <w:rsid w:val="005E6DC2"/>
    <w:rsid w:val="005F6217"/>
    <w:rsid w:val="00602033"/>
    <w:rsid w:val="006079BB"/>
    <w:rsid w:val="00610932"/>
    <w:rsid w:val="00637376"/>
    <w:rsid w:val="00652BBE"/>
    <w:rsid w:val="00653E9C"/>
    <w:rsid w:val="0067000C"/>
    <w:rsid w:val="006714CB"/>
    <w:rsid w:val="006862AF"/>
    <w:rsid w:val="006A0839"/>
    <w:rsid w:val="006A57D6"/>
    <w:rsid w:val="006A711E"/>
    <w:rsid w:val="006B3FC9"/>
    <w:rsid w:val="006C1D0C"/>
    <w:rsid w:val="006D13E4"/>
    <w:rsid w:val="006D4F4C"/>
    <w:rsid w:val="006D58C9"/>
    <w:rsid w:val="006E0639"/>
    <w:rsid w:val="006E765D"/>
    <w:rsid w:val="00706B86"/>
    <w:rsid w:val="00710DD3"/>
    <w:rsid w:val="0071256B"/>
    <w:rsid w:val="00715CAF"/>
    <w:rsid w:val="00721854"/>
    <w:rsid w:val="00723485"/>
    <w:rsid w:val="007310FD"/>
    <w:rsid w:val="00741844"/>
    <w:rsid w:val="00745CFE"/>
    <w:rsid w:val="00747C46"/>
    <w:rsid w:val="0075084B"/>
    <w:rsid w:val="00751AE5"/>
    <w:rsid w:val="0076589D"/>
    <w:rsid w:val="00785863"/>
    <w:rsid w:val="00787F67"/>
    <w:rsid w:val="0079133D"/>
    <w:rsid w:val="007A01E2"/>
    <w:rsid w:val="007C0D29"/>
    <w:rsid w:val="007C1C49"/>
    <w:rsid w:val="007E7885"/>
    <w:rsid w:val="00803EF7"/>
    <w:rsid w:val="008149C8"/>
    <w:rsid w:val="00816A62"/>
    <w:rsid w:val="00816ACF"/>
    <w:rsid w:val="00816C75"/>
    <w:rsid w:val="008252EC"/>
    <w:rsid w:val="008534BC"/>
    <w:rsid w:val="00856312"/>
    <w:rsid w:val="00860A3D"/>
    <w:rsid w:val="00861796"/>
    <w:rsid w:val="00864DC1"/>
    <w:rsid w:val="008703B7"/>
    <w:rsid w:val="00877433"/>
    <w:rsid w:val="00881E4D"/>
    <w:rsid w:val="00886BA2"/>
    <w:rsid w:val="008949EE"/>
    <w:rsid w:val="008B37DD"/>
    <w:rsid w:val="008D293B"/>
    <w:rsid w:val="008E1B08"/>
    <w:rsid w:val="008E1E19"/>
    <w:rsid w:val="008E5033"/>
    <w:rsid w:val="008F7E7A"/>
    <w:rsid w:val="00901720"/>
    <w:rsid w:val="00901E3B"/>
    <w:rsid w:val="00907238"/>
    <w:rsid w:val="009074E7"/>
    <w:rsid w:val="00911D15"/>
    <w:rsid w:val="00922836"/>
    <w:rsid w:val="00931D2B"/>
    <w:rsid w:val="00932239"/>
    <w:rsid w:val="00933644"/>
    <w:rsid w:val="00933DA8"/>
    <w:rsid w:val="009359C6"/>
    <w:rsid w:val="00935DF9"/>
    <w:rsid w:val="00942DC2"/>
    <w:rsid w:val="0094424A"/>
    <w:rsid w:val="0094666C"/>
    <w:rsid w:val="00950BC6"/>
    <w:rsid w:val="00951544"/>
    <w:rsid w:val="00964A3D"/>
    <w:rsid w:val="00965A29"/>
    <w:rsid w:val="00970A4C"/>
    <w:rsid w:val="0098564A"/>
    <w:rsid w:val="009924C0"/>
    <w:rsid w:val="00995172"/>
    <w:rsid w:val="009A13DB"/>
    <w:rsid w:val="009A4709"/>
    <w:rsid w:val="009A5598"/>
    <w:rsid w:val="009B07EF"/>
    <w:rsid w:val="009B0D26"/>
    <w:rsid w:val="009B26D1"/>
    <w:rsid w:val="009B349F"/>
    <w:rsid w:val="009C0B9A"/>
    <w:rsid w:val="009C66EF"/>
    <w:rsid w:val="009D0E86"/>
    <w:rsid w:val="009D1D6B"/>
    <w:rsid w:val="009D6DDE"/>
    <w:rsid w:val="009D71DC"/>
    <w:rsid w:val="009E20E6"/>
    <w:rsid w:val="009E2614"/>
    <w:rsid w:val="009F0385"/>
    <w:rsid w:val="009F0ECA"/>
    <w:rsid w:val="009F306D"/>
    <w:rsid w:val="009F41FE"/>
    <w:rsid w:val="009F49B6"/>
    <w:rsid w:val="009F65DA"/>
    <w:rsid w:val="009F764B"/>
    <w:rsid w:val="00A007DB"/>
    <w:rsid w:val="00A046C9"/>
    <w:rsid w:val="00A06175"/>
    <w:rsid w:val="00A10CA6"/>
    <w:rsid w:val="00A11DD3"/>
    <w:rsid w:val="00A16990"/>
    <w:rsid w:val="00A177BD"/>
    <w:rsid w:val="00A21241"/>
    <w:rsid w:val="00A323E3"/>
    <w:rsid w:val="00A33DF4"/>
    <w:rsid w:val="00A62D5A"/>
    <w:rsid w:val="00A6507F"/>
    <w:rsid w:val="00A700E2"/>
    <w:rsid w:val="00A80D9C"/>
    <w:rsid w:val="00A8302E"/>
    <w:rsid w:val="00A835F8"/>
    <w:rsid w:val="00A9223C"/>
    <w:rsid w:val="00AB479A"/>
    <w:rsid w:val="00AB6D78"/>
    <w:rsid w:val="00AC62A2"/>
    <w:rsid w:val="00AE1880"/>
    <w:rsid w:val="00AF77EC"/>
    <w:rsid w:val="00B051BA"/>
    <w:rsid w:val="00B230D6"/>
    <w:rsid w:val="00B31591"/>
    <w:rsid w:val="00B3391B"/>
    <w:rsid w:val="00B362C1"/>
    <w:rsid w:val="00B363C5"/>
    <w:rsid w:val="00B463C4"/>
    <w:rsid w:val="00B504D3"/>
    <w:rsid w:val="00B51319"/>
    <w:rsid w:val="00B51DB6"/>
    <w:rsid w:val="00B5243A"/>
    <w:rsid w:val="00B63BD0"/>
    <w:rsid w:val="00B6730A"/>
    <w:rsid w:val="00B70CFF"/>
    <w:rsid w:val="00B71CFF"/>
    <w:rsid w:val="00B71D54"/>
    <w:rsid w:val="00B71FC9"/>
    <w:rsid w:val="00B80401"/>
    <w:rsid w:val="00B81624"/>
    <w:rsid w:val="00B818B4"/>
    <w:rsid w:val="00B90E55"/>
    <w:rsid w:val="00BB34B3"/>
    <w:rsid w:val="00BB3C4B"/>
    <w:rsid w:val="00BC41A9"/>
    <w:rsid w:val="00BE4DD7"/>
    <w:rsid w:val="00BF25E7"/>
    <w:rsid w:val="00C00940"/>
    <w:rsid w:val="00C009BD"/>
    <w:rsid w:val="00C0484A"/>
    <w:rsid w:val="00C145BF"/>
    <w:rsid w:val="00C15E8B"/>
    <w:rsid w:val="00C17BCD"/>
    <w:rsid w:val="00C230DD"/>
    <w:rsid w:val="00C24DF9"/>
    <w:rsid w:val="00C301C1"/>
    <w:rsid w:val="00C3234E"/>
    <w:rsid w:val="00C4025B"/>
    <w:rsid w:val="00C63B14"/>
    <w:rsid w:val="00C731CE"/>
    <w:rsid w:val="00C73AE4"/>
    <w:rsid w:val="00C90474"/>
    <w:rsid w:val="00C938C7"/>
    <w:rsid w:val="00C946FE"/>
    <w:rsid w:val="00C962AE"/>
    <w:rsid w:val="00CA18AE"/>
    <w:rsid w:val="00CA1A5A"/>
    <w:rsid w:val="00CA3D8D"/>
    <w:rsid w:val="00CB0E17"/>
    <w:rsid w:val="00CB3AC3"/>
    <w:rsid w:val="00CD15E8"/>
    <w:rsid w:val="00CD7B6A"/>
    <w:rsid w:val="00CE6D14"/>
    <w:rsid w:val="00CE76F0"/>
    <w:rsid w:val="00CF4ECA"/>
    <w:rsid w:val="00CF5F7C"/>
    <w:rsid w:val="00D053E1"/>
    <w:rsid w:val="00D10375"/>
    <w:rsid w:val="00D2002A"/>
    <w:rsid w:val="00D343A7"/>
    <w:rsid w:val="00D406FF"/>
    <w:rsid w:val="00D44596"/>
    <w:rsid w:val="00D50B64"/>
    <w:rsid w:val="00D657F9"/>
    <w:rsid w:val="00D66ECE"/>
    <w:rsid w:val="00D80840"/>
    <w:rsid w:val="00D82DAD"/>
    <w:rsid w:val="00D84E18"/>
    <w:rsid w:val="00D93EBE"/>
    <w:rsid w:val="00D96364"/>
    <w:rsid w:val="00DB1334"/>
    <w:rsid w:val="00DB1386"/>
    <w:rsid w:val="00DB192F"/>
    <w:rsid w:val="00DC41B9"/>
    <w:rsid w:val="00DD2F36"/>
    <w:rsid w:val="00E11232"/>
    <w:rsid w:val="00E13112"/>
    <w:rsid w:val="00E13546"/>
    <w:rsid w:val="00E146CE"/>
    <w:rsid w:val="00E152E4"/>
    <w:rsid w:val="00E15DE1"/>
    <w:rsid w:val="00E23B86"/>
    <w:rsid w:val="00E256CD"/>
    <w:rsid w:val="00E274CD"/>
    <w:rsid w:val="00E303CE"/>
    <w:rsid w:val="00E452DC"/>
    <w:rsid w:val="00E52BC6"/>
    <w:rsid w:val="00E55C0F"/>
    <w:rsid w:val="00E616B8"/>
    <w:rsid w:val="00E64283"/>
    <w:rsid w:val="00E669ED"/>
    <w:rsid w:val="00E67E4C"/>
    <w:rsid w:val="00E7153C"/>
    <w:rsid w:val="00E723EA"/>
    <w:rsid w:val="00E81FC6"/>
    <w:rsid w:val="00E834BF"/>
    <w:rsid w:val="00EA5B91"/>
    <w:rsid w:val="00EB4B25"/>
    <w:rsid w:val="00EB4F44"/>
    <w:rsid w:val="00EC5335"/>
    <w:rsid w:val="00EC62CC"/>
    <w:rsid w:val="00ED58A8"/>
    <w:rsid w:val="00EE2EE7"/>
    <w:rsid w:val="00EF29FF"/>
    <w:rsid w:val="00EF2D9E"/>
    <w:rsid w:val="00F0419B"/>
    <w:rsid w:val="00F13270"/>
    <w:rsid w:val="00F1421E"/>
    <w:rsid w:val="00F20B42"/>
    <w:rsid w:val="00F374DA"/>
    <w:rsid w:val="00F42441"/>
    <w:rsid w:val="00F46985"/>
    <w:rsid w:val="00F55310"/>
    <w:rsid w:val="00F61403"/>
    <w:rsid w:val="00F61661"/>
    <w:rsid w:val="00F630A7"/>
    <w:rsid w:val="00F6335C"/>
    <w:rsid w:val="00F67F31"/>
    <w:rsid w:val="00F82012"/>
    <w:rsid w:val="00FB67D9"/>
    <w:rsid w:val="00FB6915"/>
    <w:rsid w:val="00FC0895"/>
    <w:rsid w:val="00FD3AFB"/>
    <w:rsid w:val="00FD3ED7"/>
    <w:rsid w:val="00FE0C2D"/>
    <w:rsid w:val="00FE1E0F"/>
    <w:rsid w:val="00FE53F8"/>
    <w:rsid w:val="00FF177F"/>
    <w:rsid w:val="00FF476E"/>
    <w:rsid w:val="00FF6E61"/>
    <w:rsid w:val="00FF72E4"/>
    <w:rsid w:val="04F934DC"/>
    <w:rsid w:val="06D77837"/>
    <w:rsid w:val="0AD17346"/>
    <w:rsid w:val="0C2C0A32"/>
    <w:rsid w:val="10480638"/>
    <w:rsid w:val="197745FC"/>
    <w:rsid w:val="19FB32E3"/>
    <w:rsid w:val="1CA710E6"/>
    <w:rsid w:val="20A05AA3"/>
    <w:rsid w:val="21EE3D7E"/>
    <w:rsid w:val="25847C00"/>
    <w:rsid w:val="2B806D23"/>
    <w:rsid w:val="2C837A30"/>
    <w:rsid w:val="33D75243"/>
    <w:rsid w:val="348E65FC"/>
    <w:rsid w:val="36BD0FE6"/>
    <w:rsid w:val="3866594F"/>
    <w:rsid w:val="3CBB4CDF"/>
    <w:rsid w:val="40965B09"/>
    <w:rsid w:val="40AA469E"/>
    <w:rsid w:val="41594074"/>
    <w:rsid w:val="42DC31BE"/>
    <w:rsid w:val="481033F5"/>
    <w:rsid w:val="48263D61"/>
    <w:rsid w:val="4C4D2CF8"/>
    <w:rsid w:val="4E0B68C1"/>
    <w:rsid w:val="527B2BB1"/>
    <w:rsid w:val="52C05038"/>
    <w:rsid w:val="55E9592F"/>
    <w:rsid w:val="56465EC3"/>
    <w:rsid w:val="579D116B"/>
    <w:rsid w:val="59ED15CA"/>
    <w:rsid w:val="5C0C5F42"/>
    <w:rsid w:val="5DBF351E"/>
    <w:rsid w:val="5FCD7D08"/>
    <w:rsid w:val="5FD071F5"/>
    <w:rsid w:val="613E5E95"/>
    <w:rsid w:val="63334E39"/>
    <w:rsid w:val="68CF6C18"/>
    <w:rsid w:val="69BC00C9"/>
    <w:rsid w:val="6BEE603F"/>
    <w:rsid w:val="6CB53D64"/>
    <w:rsid w:val="6F7D60F2"/>
    <w:rsid w:val="73CD7F96"/>
    <w:rsid w:val="75655A37"/>
    <w:rsid w:val="76D96BFE"/>
    <w:rsid w:val="79DA7036"/>
    <w:rsid w:val="7C194973"/>
    <w:rsid w:val="7C57722D"/>
    <w:rsid w:val="7CDA686B"/>
    <w:rsid w:val="7EF6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kern w:val="0"/>
      <w:sz w:val="18"/>
      <w:szCs w:val="18"/>
    </w:rPr>
  </w:style>
  <w:style w:type="character" w:customStyle="1" w:styleId="5">
    <w:name w:val="页脚 字符"/>
    <w:basedOn w:val="4"/>
    <w:link w:val="2"/>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444</Words>
  <Characters>2531</Characters>
  <Lines>21</Lines>
  <Paragraphs>5</Paragraphs>
  <TotalTime>0</TotalTime>
  <ScaleCrop>false</ScaleCrop>
  <LinksUpToDate>false</LinksUpToDate>
  <CharactersWithSpaces>2970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2024-01-29T04:27:00Z</dcterms:created>
  <dc:creator>叶展鹏</dc:creator>
  <cp:lastModifiedBy>Administrator</cp:lastModifiedBy>
  <dcterms:modified xsi:type="dcterms:W3CDTF">2024-02-22T01:47:01Z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